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8674" w14:textId="6464A9FB" w:rsidR="00966903" w:rsidRPr="00966903" w:rsidRDefault="00966903" w:rsidP="00966903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CIRCULAR EXTERNA </w:t>
      </w:r>
      <w:r w:rsidR="00A852A7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 </w:t>
      </w:r>
      <w:proofErr w:type="gramStart"/>
      <w:r w:rsidR="00471F87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>020</w:t>
      </w:r>
      <w:r w:rsidR="00A852A7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 </w:t>
      </w:r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 DE</w:t>
      </w:r>
      <w:proofErr w:type="gramEnd"/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 2022</w:t>
      </w:r>
    </w:p>
    <w:p w14:paraId="4AF8C7AA" w14:textId="77777777" w:rsidR="00966903" w:rsidRPr="00966903" w:rsidRDefault="00966903" w:rsidP="00966903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</w:p>
    <w:p w14:paraId="45108F17" w14:textId="32FA2CEC" w:rsidR="00966903" w:rsidRPr="00966903" w:rsidRDefault="00966903" w:rsidP="00966903">
      <w:pPr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  <w:proofErr w:type="gramStart"/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>(</w:t>
      </w:r>
      <w:r w:rsidR="00471F87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 Julio</w:t>
      </w:r>
      <w:proofErr w:type="gramEnd"/>
      <w:r w:rsidR="00471F87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 29 </w:t>
      </w:r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>)</w:t>
      </w:r>
    </w:p>
    <w:p w14:paraId="3C0D19C8" w14:textId="77777777" w:rsidR="001A12E9" w:rsidRDefault="001A12E9" w:rsidP="00966903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</w:p>
    <w:p w14:paraId="4B36603A" w14:textId="77777777" w:rsidR="001A12E9" w:rsidRDefault="001A12E9" w:rsidP="00966903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</w:p>
    <w:p w14:paraId="7EA1E0EE" w14:textId="5DA2D79C" w:rsidR="00966903" w:rsidRPr="00966903" w:rsidRDefault="00966903" w:rsidP="00966903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>Señores</w:t>
      </w:r>
    </w:p>
    <w:p w14:paraId="0F67514D" w14:textId="77777777" w:rsidR="00966903" w:rsidRPr="00966903" w:rsidRDefault="00966903" w:rsidP="00966903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  <w:r w:rsidRPr="00966903">
        <w:rPr>
          <w:rFonts w:ascii="Arial" w:hAnsi="Arial" w:cs="Arial"/>
          <w:color w:val="000000"/>
          <w:sz w:val="24"/>
          <w:szCs w:val="24"/>
        </w:rPr>
        <w:t xml:space="preserve">REPRESENTANTES LEGALES Y REVISORES FISCALES DE LOS EMISORES </w:t>
      </w:r>
    </w:p>
    <w:p w14:paraId="5AF4034B" w14:textId="01FCFC97" w:rsid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14:paraId="6172CCB3" w14:textId="77777777" w:rsidR="00F27C48" w:rsidRPr="00966903" w:rsidRDefault="00F27C48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14:paraId="5E2F29E3" w14:textId="044EA31E" w:rsidR="00966903" w:rsidRPr="00966903" w:rsidRDefault="00966903" w:rsidP="00966903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</w:pPr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 xml:space="preserve">Referencia: Instrucciones relacionadas con la emisión de bonos </w:t>
      </w:r>
      <w:r w:rsidR="000171C0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>que contribuyan al logro de objetivos ambientales, sociales y/o de economía naranja</w:t>
      </w:r>
    </w:p>
    <w:p w14:paraId="5266DAE8" w14:textId="0C23D071" w:rsid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14:paraId="55002843" w14:textId="77777777" w:rsidR="00F27C48" w:rsidRPr="00966903" w:rsidRDefault="00F27C48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14:paraId="548AC6AD" w14:textId="77777777" w:rsidR="00966903" w:rsidRP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966903">
        <w:rPr>
          <w:rFonts w:ascii="Arial" w:eastAsia="Arial" w:hAnsi="Arial" w:cs="Arial"/>
          <w:color w:val="000000"/>
          <w:sz w:val="24"/>
          <w:szCs w:val="24"/>
          <w:lang w:val="es-CO"/>
        </w:rPr>
        <w:t>Apreciados señores:</w:t>
      </w:r>
    </w:p>
    <w:p w14:paraId="6AF4ABFE" w14:textId="02156870" w:rsid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14:paraId="0A5438DA" w14:textId="77777777" w:rsidR="00F27C48" w:rsidRPr="00966903" w:rsidRDefault="00F27C48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</w:p>
    <w:p w14:paraId="40C45FE5" w14:textId="15730DAB" w:rsidR="00966903" w:rsidRPr="00966903" w:rsidRDefault="00615B5A" w:rsidP="009669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66903">
        <w:rPr>
          <w:rFonts w:ascii="Arial" w:hAnsi="Arial" w:cs="Arial"/>
          <w:sz w:val="24"/>
          <w:szCs w:val="24"/>
        </w:rPr>
        <w:t xml:space="preserve">l </w:t>
      </w:r>
      <w:r w:rsidR="00966903" w:rsidRPr="00966903">
        <w:rPr>
          <w:rFonts w:ascii="Arial" w:hAnsi="Arial" w:cs="Arial"/>
          <w:sz w:val="24"/>
          <w:szCs w:val="24"/>
        </w:rPr>
        <w:t xml:space="preserve">mercado de valores se ha convertido en el escenario propicio para movilizar recursos hacia proyectos que </w:t>
      </w:r>
      <w:r w:rsidR="001C6999" w:rsidRPr="00966903">
        <w:rPr>
          <w:rFonts w:ascii="Arial" w:hAnsi="Arial" w:cs="Arial"/>
          <w:sz w:val="24"/>
          <w:szCs w:val="24"/>
        </w:rPr>
        <w:t>promuev</w:t>
      </w:r>
      <w:r w:rsidR="001C6999">
        <w:rPr>
          <w:rFonts w:ascii="Arial" w:hAnsi="Arial" w:cs="Arial"/>
          <w:sz w:val="24"/>
          <w:szCs w:val="24"/>
        </w:rPr>
        <w:t>a</w:t>
      </w:r>
      <w:r w:rsidR="001C6999" w:rsidRPr="00966903">
        <w:rPr>
          <w:rFonts w:ascii="Arial" w:hAnsi="Arial" w:cs="Arial"/>
          <w:sz w:val="24"/>
          <w:szCs w:val="24"/>
        </w:rPr>
        <w:t xml:space="preserve">n </w:t>
      </w:r>
      <w:r w:rsidR="00966903" w:rsidRPr="00966903">
        <w:rPr>
          <w:rFonts w:ascii="Arial" w:hAnsi="Arial" w:cs="Arial"/>
          <w:sz w:val="24"/>
          <w:szCs w:val="24"/>
        </w:rPr>
        <w:t xml:space="preserve">el logro de objetivos </w:t>
      </w:r>
      <w:r w:rsidR="00295581">
        <w:rPr>
          <w:rFonts w:ascii="Arial" w:hAnsi="Arial" w:cs="Arial"/>
          <w:sz w:val="24"/>
          <w:szCs w:val="24"/>
        </w:rPr>
        <w:t>asociados al desarrollo sostenible</w:t>
      </w:r>
      <w:r w:rsidR="00293A38">
        <w:rPr>
          <w:rFonts w:ascii="Arial" w:hAnsi="Arial" w:cs="Arial"/>
          <w:sz w:val="24"/>
          <w:szCs w:val="24"/>
        </w:rPr>
        <w:t xml:space="preserve"> y</w:t>
      </w:r>
      <w:r w:rsidR="00966903" w:rsidRPr="00966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faciliten </w:t>
      </w:r>
      <w:r>
        <w:rPr>
          <w:rFonts w:ascii="Arial" w:hAnsi="Arial" w:cs="Arial"/>
          <w:sz w:val="24"/>
          <w:szCs w:val="24"/>
        </w:rPr>
        <w:t>l</w:t>
      </w:r>
      <w:r w:rsidRPr="00966903">
        <w:rPr>
          <w:rFonts w:ascii="Arial" w:hAnsi="Arial" w:cs="Arial"/>
          <w:sz w:val="24"/>
          <w:szCs w:val="24"/>
        </w:rPr>
        <w:t xml:space="preserve">a transición hacia una economía baja en carbono más sostenible y resiliente </w:t>
      </w:r>
      <w:r w:rsidR="00966903" w:rsidRPr="00966903">
        <w:rPr>
          <w:rFonts w:ascii="Arial" w:hAnsi="Arial" w:cs="Arial"/>
          <w:sz w:val="24"/>
          <w:szCs w:val="24"/>
        </w:rPr>
        <w:t>a través de la emisión de bonos verdes, bonos sociales, bonos sostenibles y bonos naranja, entre otros.</w:t>
      </w:r>
    </w:p>
    <w:p w14:paraId="489FAB42" w14:textId="77777777" w:rsidR="00966903" w:rsidRPr="00F27C48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79DF5D" w14:textId="144CDF87" w:rsidR="00966903" w:rsidRP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Esta Superintendencia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ha promovido </w:t>
      </w:r>
      <w:r w:rsidR="000025B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el desarrollo de las finanzas sostenibles</w:t>
      </w:r>
      <w:r w:rsidR="00D05EE9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y 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la movilización de recursos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hacia 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proyectos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que contribuyan con </w:t>
      </w:r>
      <w:r w:rsidR="0014152B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el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logro de 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objetivos ambientales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a través de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la expedición de la Circular Externa 028 de 2020, incorporada en la Circular Básica Jurídica, en la cual impartió instrucciones relacionadas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con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los procesos</w:t>
      </w:r>
      <w:r w:rsidRPr="00CB023F">
        <w:rPr>
          <w:rFonts w:ascii="Arial" w:hAnsi="Arial" w:cs="Arial"/>
          <w:color w:val="000000"/>
          <w:sz w:val="24"/>
          <w:szCs w:val="24"/>
          <w:lang w:val="es-CO"/>
        </w:rPr>
        <w:t xml:space="preserve"> asociados a la emisión, colocación y reporte de información de bonos </w:t>
      </w:r>
      <w:r w:rsidRPr="00CB023F">
        <w:rPr>
          <w:rFonts w:ascii="Arial" w:hAnsi="Arial" w:cs="Arial"/>
          <w:color w:val="000000"/>
          <w:sz w:val="24"/>
          <w:szCs w:val="24"/>
          <w:lang w:val="es-ES"/>
        </w:rPr>
        <w:t>verdes.</w:t>
      </w:r>
    </w:p>
    <w:p w14:paraId="4E7ACB33" w14:textId="77777777" w:rsidR="00966903" w:rsidRPr="005B1168" w:rsidRDefault="00966903" w:rsidP="00966903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37A646E0" w14:textId="790E02F4" w:rsidR="00966903" w:rsidRPr="00966903" w:rsidRDefault="00377D2C" w:rsidP="00966903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CB023F">
        <w:rPr>
          <w:rFonts w:ascii="Arial" w:hAnsi="Arial" w:cs="Arial"/>
          <w:color w:val="000000"/>
          <w:sz w:val="24"/>
          <w:szCs w:val="24"/>
          <w:lang w:val="es-ES"/>
        </w:rPr>
        <w:t>E</w:t>
      </w:r>
      <w:r w:rsidR="00966903" w:rsidRPr="00CB023F">
        <w:rPr>
          <w:rFonts w:ascii="Arial" w:hAnsi="Arial" w:cs="Arial"/>
          <w:color w:val="000000"/>
          <w:sz w:val="24"/>
          <w:szCs w:val="24"/>
          <w:lang w:val="es-ES"/>
        </w:rPr>
        <w:t xml:space="preserve">l mercado de valores ha demostrado interés en convertirse en una fuente de financiación para el desarrollo de proyectos sostenibles adicionales a los verdes. Bajo este contexto, esta Superintendencia ha identificado la necesidad de generar un marco que promueva la emisión de bonos cuyos </w:t>
      </w:r>
      <w:r w:rsidR="005B1168" w:rsidRPr="00CB023F">
        <w:rPr>
          <w:rFonts w:ascii="Arial" w:hAnsi="Arial" w:cs="Arial"/>
          <w:color w:val="000000"/>
          <w:sz w:val="24"/>
          <w:szCs w:val="24"/>
          <w:lang w:val="es-ES"/>
        </w:rPr>
        <w:t xml:space="preserve">recursos </w:t>
      </w:r>
      <w:r w:rsidR="00966903" w:rsidRPr="00CB023F">
        <w:rPr>
          <w:rFonts w:ascii="Arial" w:hAnsi="Arial" w:cs="Arial"/>
          <w:color w:val="000000"/>
          <w:sz w:val="24"/>
          <w:szCs w:val="24"/>
          <w:lang w:val="es-ES"/>
        </w:rPr>
        <w:t>se destinen exclusivamente a financiar o refinanciar proyectos que contribuyan al logro de objetivos ambientales, sociales</w:t>
      </w:r>
      <w:r w:rsidR="002E2F54" w:rsidRPr="00CB023F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226DE6" w:rsidRPr="00CB023F">
        <w:rPr>
          <w:rFonts w:ascii="Arial" w:hAnsi="Arial" w:cs="Arial"/>
          <w:color w:val="000000"/>
          <w:sz w:val="24"/>
          <w:szCs w:val="24"/>
          <w:lang w:val="es-ES"/>
        </w:rPr>
        <w:t>y/o de</w:t>
      </w:r>
      <w:r w:rsidR="00966903" w:rsidRPr="00CB023F">
        <w:rPr>
          <w:rFonts w:ascii="Arial" w:hAnsi="Arial" w:cs="Arial"/>
          <w:color w:val="000000"/>
          <w:sz w:val="24"/>
          <w:szCs w:val="24"/>
          <w:lang w:val="es-ES"/>
        </w:rPr>
        <w:t xml:space="preserve"> economía naranja, reconociendo el dinamismo de los mercados internacionales en la innovación de este tipo de emisiones.</w:t>
      </w:r>
    </w:p>
    <w:p w14:paraId="00F9C151" w14:textId="77777777" w:rsidR="00966903" w:rsidRPr="00966903" w:rsidRDefault="00966903" w:rsidP="00966903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0CFE8C7F" w14:textId="3F9CD8D7" w:rsidR="00966903" w:rsidRP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En desarrollo de lo anterior</w:t>
      </w:r>
      <w:r w:rsidR="00030D39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, esta Superintendencia imparte instrucciones para definir el contenido del prospecto de información </w:t>
      </w:r>
      <w:r w:rsidR="009153F1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para</w:t>
      </w:r>
      <w:r w:rsidR="00030D39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la</w:t>
      </w:r>
      <w:r w:rsidR="0038136D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</w:t>
      </w:r>
      <w:r w:rsidR="009B472B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autorización de</w:t>
      </w:r>
      <w:r w:rsidR="00030D39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emisiones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de bonos </w:t>
      </w:r>
      <w:r w:rsidR="006B416D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de 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destinación específica</w:t>
      </w:r>
      <w:r w:rsidR="00820D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, </w:t>
      </w:r>
      <w:r w:rsidR="00112F6C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tomando como referencia </w:t>
      </w:r>
      <w:r w:rsidR="00030D39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los estándares internacionales del </w:t>
      </w:r>
      <w:r w:rsidR="00030D39" w:rsidRPr="00CB023F">
        <w:rPr>
          <w:rFonts w:ascii="Arial" w:hAnsi="Arial" w:cs="Arial"/>
          <w:i/>
          <w:iCs/>
          <w:color w:val="000000"/>
          <w:sz w:val="24"/>
          <w:szCs w:val="24"/>
          <w:lang w:val="es-CO"/>
        </w:rPr>
        <w:t xml:space="preserve">International Capital </w:t>
      </w:r>
      <w:proofErr w:type="spellStart"/>
      <w:r w:rsidR="00030D39" w:rsidRPr="00CB023F">
        <w:rPr>
          <w:rFonts w:ascii="Arial" w:hAnsi="Arial" w:cs="Arial"/>
          <w:i/>
          <w:iCs/>
          <w:color w:val="000000"/>
          <w:sz w:val="24"/>
          <w:szCs w:val="24"/>
          <w:lang w:val="es-CO"/>
        </w:rPr>
        <w:t>Market</w:t>
      </w:r>
      <w:proofErr w:type="spellEnd"/>
      <w:r w:rsidR="00030D39" w:rsidRPr="00CB023F">
        <w:rPr>
          <w:rFonts w:ascii="Arial" w:hAnsi="Arial" w:cs="Arial"/>
          <w:i/>
          <w:iCs/>
          <w:color w:val="000000"/>
          <w:sz w:val="24"/>
          <w:szCs w:val="24"/>
          <w:lang w:val="es-CO"/>
        </w:rPr>
        <w:t xml:space="preserve"> </w:t>
      </w:r>
      <w:proofErr w:type="spellStart"/>
      <w:r w:rsidR="00030D39" w:rsidRPr="00CB023F">
        <w:rPr>
          <w:rFonts w:ascii="Arial" w:hAnsi="Arial" w:cs="Arial"/>
          <w:i/>
          <w:iCs/>
          <w:color w:val="000000"/>
          <w:sz w:val="24"/>
          <w:szCs w:val="24"/>
          <w:lang w:val="es-CO"/>
        </w:rPr>
        <w:t>Association</w:t>
      </w:r>
      <w:proofErr w:type="spellEnd"/>
      <w:r w:rsidR="00030D39" w:rsidRPr="00CB023F">
        <w:rPr>
          <w:rFonts w:ascii="Arial" w:hAnsi="Arial" w:cs="Arial"/>
          <w:color w:val="000000"/>
          <w:sz w:val="24"/>
          <w:szCs w:val="24"/>
          <w:lang w:val="es-CO"/>
        </w:rPr>
        <w:t xml:space="preserve"> (ICMA, por su sigla en inglés)</w:t>
      </w:r>
      <w:r w:rsidR="009C7068" w:rsidRPr="00CB023F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r w:rsidR="00255BFB" w:rsidRPr="00CB023F">
        <w:rPr>
          <w:rFonts w:ascii="Arial" w:hAnsi="Arial" w:cs="Arial"/>
          <w:color w:val="000000"/>
          <w:sz w:val="24"/>
          <w:szCs w:val="24"/>
          <w:lang w:val="es-CO"/>
        </w:rPr>
        <w:t>para emisiones</w:t>
      </w:r>
      <w:r w:rsidR="00CB023F" w:rsidRPr="00CB023F">
        <w:rPr>
          <w:rFonts w:ascii="Arial" w:hAnsi="Arial" w:cs="Arial"/>
          <w:color w:val="000000"/>
          <w:sz w:val="24"/>
          <w:szCs w:val="24"/>
          <w:lang w:val="es-CO"/>
        </w:rPr>
        <w:t xml:space="preserve"> de bonos verdes, sociales y sostenibles</w:t>
      </w:r>
      <w:r w:rsidRPr="00CB023F"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En </w:t>
      </w:r>
      <w:r w:rsidR="00524D06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consecuencia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, este Despacho</w:t>
      </w:r>
      <w:r w:rsidRPr="00CB023F">
        <w:rPr>
          <w:rFonts w:ascii="Arial" w:hAnsi="Arial" w:cs="Arial"/>
          <w:color w:val="000000"/>
          <w:sz w:val="24"/>
          <w:szCs w:val="24"/>
          <w:lang w:val="es-CO"/>
        </w:rPr>
        <w:t xml:space="preserve">, 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en ejercicio de las facultades conferidas en el literal a) del artículo 6 de la Ley 964 de 2005, </w:t>
      </w:r>
      <w:r w:rsidR="00A852A7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el artículo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5.2.1.1.4. y el numeral 4 del artículo 11.2.1.4.2. del Decreto 2555 de 2010, imparte la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s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siguiente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s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instrucci</w:t>
      </w:r>
      <w:r w:rsidR="005B1168"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ones</w:t>
      </w:r>
      <w:r w:rsidRPr="00CB023F">
        <w:rPr>
          <w:rFonts w:ascii="Arial" w:eastAsia="Arial" w:hAnsi="Arial" w:cs="Arial"/>
          <w:color w:val="000000"/>
          <w:sz w:val="24"/>
          <w:szCs w:val="24"/>
          <w:lang w:val="es-CO"/>
        </w:rPr>
        <w:t>:</w:t>
      </w:r>
      <w:r w:rsidRPr="00966903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</w:t>
      </w:r>
    </w:p>
    <w:p w14:paraId="1C60A314" w14:textId="5C15C475" w:rsidR="00966903" w:rsidRDefault="00966903" w:rsidP="00966903">
      <w:pPr>
        <w:pStyle w:val="Sinespaciado"/>
        <w:tabs>
          <w:tab w:val="left" w:pos="1635"/>
        </w:tabs>
        <w:jc w:val="both"/>
        <w:rPr>
          <w:rFonts w:eastAsia="Arial" w:cs="Arial"/>
          <w:color w:val="000000"/>
          <w:szCs w:val="24"/>
          <w:lang w:val="es-CO"/>
        </w:rPr>
      </w:pPr>
    </w:p>
    <w:p w14:paraId="4A1EB55B" w14:textId="77777777" w:rsidR="00F27C48" w:rsidRPr="00966903" w:rsidRDefault="00F27C48" w:rsidP="00966903">
      <w:pPr>
        <w:pStyle w:val="Sinespaciado"/>
        <w:tabs>
          <w:tab w:val="left" w:pos="1635"/>
        </w:tabs>
        <w:jc w:val="both"/>
        <w:rPr>
          <w:rFonts w:eastAsia="Arial" w:cs="Arial"/>
          <w:color w:val="000000"/>
          <w:szCs w:val="24"/>
          <w:lang w:val="es-CO"/>
        </w:rPr>
      </w:pPr>
    </w:p>
    <w:p w14:paraId="425CFFEC" w14:textId="12C3CD7D" w:rsidR="00966903" w:rsidRDefault="00966903" w:rsidP="00966903">
      <w:pPr>
        <w:jc w:val="both"/>
        <w:rPr>
          <w:rFonts w:ascii="Arial" w:hAnsi="Arial" w:cs="Arial"/>
          <w:sz w:val="24"/>
          <w:szCs w:val="24"/>
        </w:rPr>
      </w:pPr>
      <w:r w:rsidRPr="00966903">
        <w:rPr>
          <w:rFonts w:ascii="Arial" w:eastAsia="Arial" w:hAnsi="Arial" w:cs="Arial"/>
          <w:b/>
          <w:bCs/>
          <w:color w:val="000000"/>
          <w:sz w:val="24"/>
          <w:szCs w:val="24"/>
          <w:lang w:val="es-CO"/>
        </w:rPr>
        <w:t>PRIMERA:</w:t>
      </w:r>
      <w:r w:rsidRPr="00966903">
        <w:rPr>
          <w:rFonts w:ascii="Arial" w:eastAsia="Arial" w:hAnsi="Arial" w:cs="Arial"/>
          <w:color w:val="000000"/>
          <w:sz w:val="24"/>
          <w:szCs w:val="24"/>
          <w:lang w:val="es-CO"/>
        </w:rPr>
        <w:t xml:space="preserve"> Modificar el subnumeral </w:t>
      </w:r>
      <w:r w:rsidRPr="00966903">
        <w:rPr>
          <w:rFonts w:ascii="Arial" w:hAnsi="Arial" w:cs="Arial"/>
          <w:sz w:val="24"/>
          <w:szCs w:val="24"/>
        </w:rPr>
        <w:t xml:space="preserve">1.3.6.1.2.8. </w:t>
      </w:r>
      <w:r w:rsidR="00A852A7">
        <w:rPr>
          <w:rFonts w:ascii="Arial" w:hAnsi="Arial" w:cs="Arial"/>
          <w:sz w:val="24"/>
          <w:szCs w:val="24"/>
        </w:rPr>
        <w:t>del</w:t>
      </w:r>
      <w:r w:rsidRPr="00966903">
        <w:rPr>
          <w:rFonts w:ascii="Arial" w:hAnsi="Arial" w:cs="Arial"/>
          <w:sz w:val="24"/>
          <w:szCs w:val="24"/>
        </w:rPr>
        <w:t xml:space="preserve"> Capítulo II del Título I de la Parte III de la Circular Básica Jurídica </w:t>
      </w:r>
      <w:r w:rsidR="00275B8A">
        <w:rPr>
          <w:rFonts w:ascii="Arial" w:hAnsi="Arial" w:cs="Arial"/>
          <w:sz w:val="24"/>
          <w:szCs w:val="24"/>
        </w:rPr>
        <w:t>«</w:t>
      </w:r>
      <w:r w:rsidRPr="00966903">
        <w:rPr>
          <w:rFonts w:ascii="Arial" w:hAnsi="Arial" w:cs="Arial"/>
          <w:i/>
          <w:iCs/>
          <w:sz w:val="24"/>
          <w:szCs w:val="24"/>
        </w:rPr>
        <w:t>Reglas particulares de emisión de valores</w:t>
      </w:r>
      <w:r w:rsidR="00774FC7">
        <w:rPr>
          <w:rFonts w:ascii="Arial" w:hAnsi="Arial" w:cs="Arial"/>
          <w:sz w:val="24"/>
          <w:szCs w:val="24"/>
        </w:rPr>
        <w:t>»</w:t>
      </w:r>
      <w:r w:rsidRPr="00966903">
        <w:rPr>
          <w:rFonts w:ascii="Arial" w:hAnsi="Arial" w:cs="Arial"/>
          <w:sz w:val="24"/>
          <w:szCs w:val="24"/>
        </w:rPr>
        <w:t>, con el fin de incorporar las condiciones específicas para la</w:t>
      </w:r>
      <w:r w:rsidR="00246700">
        <w:rPr>
          <w:rFonts w:ascii="Arial" w:hAnsi="Arial" w:cs="Arial"/>
          <w:sz w:val="24"/>
          <w:szCs w:val="24"/>
        </w:rPr>
        <w:t xml:space="preserve"> autorización del prospecto para la</w:t>
      </w:r>
      <w:r w:rsidRPr="00966903">
        <w:rPr>
          <w:rFonts w:ascii="Arial" w:hAnsi="Arial" w:cs="Arial"/>
          <w:sz w:val="24"/>
          <w:szCs w:val="24"/>
        </w:rPr>
        <w:t xml:space="preserve"> emisión de bonos de destinación específica.</w:t>
      </w:r>
    </w:p>
    <w:p w14:paraId="22AAFB78" w14:textId="17202E17" w:rsidR="005B1168" w:rsidRDefault="005B1168" w:rsidP="00966903">
      <w:pPr>
        <w:jc w:val="both"/>
        <w:rPr>
          <w:rFonts w:ascii="Arial" w:hAnsi="Arial" w:cs="Arial"/>
          <w:sz w:val="24"/>
          <w:szCs w:val="24"/>
        </w:rPr>
      </w:pPr>
    </w:p>
    <w:p w14:paraId="4894ED84" w14:textId="77777777" w:rsidR="00F27C48" w:rsidRDefault="00F27C48" w:rsidP="00966903">
      <w:pPr>
        <w:jc w:val="both"/>
        <w:rPr>
          <w:rFonts w:ascii="Arial" w:hAnsi="Arial" w:cs="Arial"/>
          <w:sz w:val="24"/>
          <w:szCs w:val="24"/>
        </w:rPr>
      </w:pPr>
    </w:p>
    <w:p w14:paraId="1168F271" w14:textId="77777777" w:rsidR="00CB023F" w:rsidRDefault="00CB023F" w:rsidP="009669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669B72" w14:textId="77777777" w:rsidR="00CB023F" w:rsidRDefault="00CB023F" w:rsidP="009669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A7E4A9" w14:textId="77777777" w:rsidR="00CB023F" w:rsidRDefault="00CB023F" w:rsidP="009669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6FEC16" w14:textId="4DFBF1CC" w:rsidR="005B1168" w:rsidRPr="001B4A82" w:rsidRDefault="005B1168" w:rsidP="009669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4A82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. VIGENCIA: </w:t>
      </w:r>
      <w:r w:rsidRPr="001B4A82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instrucciones de la presente Circular serán aplicables a las solicitudes de autorización de emisiones </w:t>
      </w:r>
      <w:r w:rsidR="00255BFB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se radiquen a partir de la fecha de publicación de la presente Circular.</w:t>
      </w:r>
    </w:p>
    <w:p w14:paraId="04D2C96B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2585C8B1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  <w:r w:rsidRPr="00966903">
        <w:rPr>
          <w:rFonts w:eastAsia="Arial" w:cs="Arial"/>
          <w:color w:val="000000"/>
          <w:szCs w:val="24"/>
          <w:lang w:val="es-CO"/>
        </w:rPr>
        <w:t>Se anexan las páginas objeto de modificación.</w:t>
      </w:r>
    </w:p>
    <w:p w14:paraId="1870F855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40F39A0A" w14:textId="773D64E8" w:rsidR="00966903" w:rsidRPr="00966903" w:rsidRDefault="00966903" w:rsidP="00966903">
      <w:pPr>
        <w:jc w:val="both"/>
        <w:rPr>
          <w:rFonts w:ascii="Arial" w:eastAsia="Arial" w:hAnsi="Arial" w:cs="Arial"/>
          <w:color w:val="000000"/>
          <w:sz w:val="24"/>
          <w:szCs w:val="24"/>
          <w:lang w:val="es-CO"/>
        </w:rPr>
      </w:pPr>
      <w:r w:rsidRPr="00966903">
        <w:rPr>
          <w:rFonts w:ascii="Arial" w:eastAsia="Arial" w:hAnsi="Arial" w:cs="Arial"/>
          <w:color w:val="000000"/>
          <w:sz w:val="24"/>
          <w:szCs w:val="24"/>
          <w:lang w:val="es-CO"/>
        </w:rPr>
        <w:t>La presente Circular rige a partir de su publicaci</w:t>
      </w:r>
      <w:r w:rsidRPr="00F71CBC">
        <w:rPr>
          <w:rFonts w:ascii="Arial" w:eastAsia="Arial" w:hAnsi="Arial" w:cs="Arial"/>
          <w:color w:val="000000"/>
          <w:sz w:val="24"/>
          <w:szCs w:val="24"/>
          <w:lang w:val="es-CO"/>
        </w:rPr>
        <w:t>ón</w:t>
      </w:r>
      <w:r w:rsidR="00F71CBC" w:rsidRPr="00275B8A">
        <w:rPr>
          <w:rFonts w:ascii="Arial" w:eastAsia="Arial" w:hAnsi="Arial" w:cs="Arial"/>
          <w:color w:val="000000"/>
          <w:sz w:val="24"/>
          <w:szCs w:val="24"/>
          <w:lang w:val="es-CO"/>
        </w:rPr>
        <w:t>.</w:t>
      </w:r>
    </w:p>
    <w:p w14:paraId="5C693E35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75B18E17" w14:textId="77777777" w:rsidR="001A12E9" w:rsidRDefault="001A12E9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4C846985" w14:textId="001661C6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  <w:r w:rsidRPr="00966903">
        <w:rPr>
          <w:rFonts w:eastAsia="Arial" w:cs="Arial"/>
          <w:color w:val="000000"/>
          <w:szCs w:val="24"/>
          <w:lang w:val="es-CO"/>
        </w:rPr>
        <w:t>Cordialmente,</w:t>
      </w:r>
    </w:p>
    <w:p w14:paraId="0ED0ED3C" w14:textId="37A50C28" w:rsid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51D02F20" w14:textId="77777777" w:rsidR="001A12E9" w:rsidRPr="00966903" w:rsidRDefault="001A12E9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0029C914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5E13B32B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</w:p>
    <w:p w14:paraId="34CD6D96" w14:textId="77777777" w:rsidR="00966903" w:rsidRPr="00966903" w:rsidRDefault="00966903" w:rsidP="00966903">
      <w:pPr>
        <w:pStyle w:val="Sinespaciado"/>
        <w:jc w:val="both"/>
        <w:rPr>
          <w:rFonts w:eastAsia="Arial" w:cs="Arial"/>
          <w:b/>
          <w:bCs/>
          <w:color w:val="000000"/>
          <w:szCs w:val="24"/>
          <w:lang w:val="es-CO"/>
        </w:rPr>
      </w:pPr>
      <w:r w:rsidRPr="00966903">
        <w:rPr>
          <w:rFonts w:eastAsia="Arial" w:cs="Arial"/>
          <w:b/>
          <w:bCs/>
          <w:color w:val="000000"/>
          <w:szCs w:val="24"/>
          <w:lang w:val="es-CO"/>
        </w:rPr>
        <w:t>JORGE CASTAÑO GUTIÉRREZ</w:t>
      </w:r>
    </w:p>
    <w:p w14:paraId="47F1EA1C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Cs w:val="24"/>
          <w:lang w:val="es-CO"/>
        </w:rPr>
      </w:pPr>
      <w:r w:rsidRPr="00966903">
        <w:rPr>
          <w:rFonts w:eastAsia="Arial" w:cs="Arial"/>
          <w:color w:val="000000"/>
          <w:szCs w:val="24"/>
          <w:lang w:val="es-CO"/>
        </w:rPr>
        <w:t>Superintendente Financiero de Colombia</w:t>
      </w:r>
    </w:p>
    <w:p w14:paraId="26AF0D1D" w14:textId="77777777" w:rsidR="00966903" w:rsidRPr="00966903" w:rsidRDefault="00966903" w:rsidP="00966903">
      <w:pPr>
        <w:pStyle w:val="Sinespaciado"/>
        <w:jc w:val="both"/>
        <w:rPr>
          <w:rFonts w:eastAsia="Arial" w:cs="Arial"/>
          <w:color w:val="000000"/>
          <w:sz w:val="20"/>
          <w:lang w:val="es-CO"/>
        </w:rPr>
      </w:pPr>
      <w:r w:rsidRPr="00966903">
        <w:rPr>
          <w:rFonts w:eastAsia="Arial" w:cs="Arial"/>
          <w:color w:val="000000"/>
          <w:sz w:val="20"/>
          <w:lang w:val="es-CO"/>
        </w:rPr>
        <w:t>50000</w:t>
      </w:r>
    </w:p>
    <w:p w14:paraId="2496DC51" w14:textId="77777777" w:rsidR="00964900" w:rsidRPr="00964900" w:rsidRDefault="00964900" w:rsidP="00964900">
      <w:pPr>
        <w:spacing w:before="120" w:after="120"/>
        <w:rPr>
          <w:rFonts w:ascii="Arial" w:eastAsia="Arial" w:hAnsi="Arial"/>
          <w:sz w:val="24"/>
        </w:rPr>
      </w:pPr>
    </w:p>
    <w:p w14:paraId="4A8ECD8B" w14:textId="77777777" w:rsidR="00B51F39" w:rsidRDefault="00B51F39">
      <w:pPr>
        <w:jc w:val="center"/>
        <w:rPr>
          <w:rFonts w:cs="Arial"/>
          <w:b/>
          <w:bCs/>
          <w:sz w:val="22"/>
          <w:szCs w:val="22"/>
        </w:rPr>
      </w:pPr>
    </w:p>
    <w:sectPr w:rsidR="00B51F39" w:rsidSect="00DD342D">
      <w:headerReference w:type="default" r:id="rId11"/>
      <w:footerReference w:type="default" r:id="rId12"/>
      <w:headerReference w:type="first" r:id="rId13"/>
      <w:footerReference w:type="first" r:id="rId14"/>
      <w:pgSz w:w="12240" w:h="18720" w:code="120"/>
      <w:pgMar w:top="1417" w:right="1701" w:bottom="1417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9629" w14:textId="77777777" w:rsidR="00C35858" w:rsidRDefault="00C35858">
      <w:r>
        <w:separator/>
      </w:r>
    </w:p>
  </w:endnote>
  <w:endnote w:type="continuationSeparator" w:id="0">
    <w:p w14:paraId="22444A0F" w14:textId="77777777" w:rsidR="00C35858" w:rsidRDefault="00C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00DD342D" w14:paraId="797A9473" w14:textId="77777777" w:rsidTr="00DD342D">
      <w:tc>
        <w:tcPr>
          <w:tcW w:w="2946" w:type="dxa"/>
        </w:tcPr>
        <w:p w14:paraId="040533A5" w14:textId="77777777" w:rsidR="00DD342D" w:rsidRDefault="00DD342D" w:rsidP="00DD342D">
          <w:pPr>
            <w:pStyle w:val="Encabezado"/>
            <w:ind w:left="-115"/>
          </w:pPr>
        </w:p>
      </w:tc>
      <w:tc>
        <w:tcPr>
          <w:tcW w:w="2946" w:type="dxa"/>
        </w:tcPr>
        <w:p w14:paraId="569AF983" w14:textId="77777777" w:rsidR="00DD342D" w:rsidRDefault="00DD342D" w:rsidP="00DD342D">
          <w:pPr>
            <w:pStyle w:val="Encabezado"/>
            <w:jc w:val="center"/>
          </w:pPr>
        </w:p>
      </w:tc>
      <w:tc>
        <w:tcPr>
          <w:tcW w:w="2946" w:type="dxa"/>
        </w:tcPr>
        <w:p w14:paraId="1262F5C0" w14:textId="77777777" w:rsidR="00DD342D" w:rsidRDefault="00DD342D" w:rsidP="00DD342D">
          <w:pPr>
            <w:pStyle w:val="Encabezado"/>
            <w:ind w:right="-115"/>
            <w:jc w:val="right"/>
          </w:pPr>
        </w:p>
      </w:tc>
    </w:tr>
  </w:tbl>
  <w:p w14:paraId="6E9DE77A" w14:textId="77777777" w:rsidR="00DD342D" w:rsidRDefault="00DD342D" w:rsidP="00DD34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00DD342D" w14:paraId="350E4CCF" w14:textId="77777777" w:rsidTr="00DD342D">
      <w:tc>
        <w:tcPr>
          <w:tcW w:w="2946" w:type="dxa"/>
        </w:tcPr>
        <w:p w14:paraId="7D0397D7" w14:textId="77777777" w:rsidR="00DD342D" w:rsidRDefault="00DD342D" w:rsidP="00DD342D">
          <w:pPr>
            <w:pStyle w:val="Encabezado"/>
            <w:tabs>
              <w:tab w:val="clear" w:pos="8838"/>
              <w:tab w:val="right" w:pos="2723"/>
            </w:tabs>
            <w:ind w:left="-115"/>
          </w:pPr>
        </w:p>
      </w:tc>
      <w:tc>
        <w:tcPr>
          <w:tcW w:w="2946" w:type="dxa"/>
        </w:tcPr>
        <w:p w14:paraId="0DE51E40" w14:textId="77777777" w:rsidR="00DD342D" w:rsidRDefault="00DD342D" w:rsidP="00DD342D">
          <w:pPr>
            <w:pStyle w:val="Encabezado"/>
            <w:jc w:val="center"/>
          </w:pPr>
        </w:p>
      </w:tc>
      <w:tc>
        <w:tcPr>
          <w:tcW w:w="2946" w:type="dxa"/>
        </w:tcPr>
        <w:p w14:paraId="29C63C91" w14:textId="77777777" w:rsidR="00DD342D" w:rsidRDefault="00DD342D" w:rsidP="00DD342D">
          <w:pPr>
            <w:pStyle w:val="Encabezado"/>
            <w:ind w:right="-115"/>
            <w:jc w:val="right"/>
          </w:pPr>
        </w:p>
      </w:tc>
    </w:tr>
  </w:tbl>
  <w:p w14:paraId="00A57BA4" w14:textId="77777777" w:rsidR="00DD342D" w:rsidRDefault="00DD342D" w:rsidP="00DD34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843B" w14:textId="77777777" w:rsidR="00C35858" w:rsidRDefault="00C35858">
      <w:r>
        <w:separator/>
      </w:r>
    </w:p>
  </w:footnote>
  <w:footnote w:type="continuationSeparator" w:id="0">
    <w:p w14:paraId="35B5C3EE" w14:textId="77777777" w:rsidR="00C35858" w:rsidRDefault="00C3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95E1" w14:textId="77777777" w:rsidR="00DD342D" w:rsidRPr="00966903" w:rsidRDefault="00DD342D" w:rsidP="00DD342D">
    <w:pPr>
      <w:pStyle w:val="Encabezado"/>
      <w:jc w:val="center"/>
      <w:rPr>
        <w:rFonts w:ascii="Arial" w:hAnsi="Arial" w:cs="Arial"/>
        <w:b/>
        <w:bCs/>
        <w:sz w:val="24"/>
        <w:szCs w:val="24"/>
        <w:lang w:val="es-ES"/>
      </w:rPr>
    </w:pPr>
    <w:r w:rsidRPr="00966903">
      <w:rPr>
        <w:rFonts w:ascii="Arial" w:hAnsi="Arial" w:cs="Arial"/>
        <w:b/>
        <w:bCs/>
        <w:sz w:val="24"/>
        <w:szCs w:val="24"/>
        <w:lang w:val="es-ES"/>
      </w:rPr>
      <w:t>SUPERINTENDENCIA FINANCIERA DE COLOMBIA</w:t>
    </w:r>
  </w:p>
  <w:p w14:paraId="4FBBA949" w14:textId="77777777" w:rsidR="00DD342D" w:rsidRDefault="00DD342D" w:rsidP="00DD342D">
    <w:pPr>
      <w:pStyle w:val="Encabezado"/>
      <w:jc w:val="center"/>
      <w:rPr>
        <w:rFonts w:cs="Arial"/>
        <w:b/>
        <w:bCs/>
        <w:sz w:val="22"/>
        <w:szCs w:val="22"/>
        <w:lang w:val="es-ES"/>
      </w:rPr>
    </w:pPr>
  </w:p>
  <w:p w14:paraId="6D5A3979" w14:textId="08902A6B" w:rsidR="00DD342D" w:rsidRPr="00966903" w:rsidRDefault="00DD342D" w:rsidP="00DD342D">
    <w:pPr>
      <w:pStyle w:val="Piedepgina"/>
      <w:rPr>
        <w:rFonts w:ascii="Arial" w:hAnsi="Arial" w:cs="Arial"/>
        <w:b/>
        <w:bCs/>
        <w:sz w:val="24"/>
        <w:szCs w:val="24"/>
      </w:rPr>
    </w:pPr>
    <w:r w:rsidRPr="00966903">
      <w:rPr>
        <w:rFonts w:ascii="Arial" w:hAnsi="Arial" w:cs="Arial"/>
        <w:b/>
        <w:bCs/>
        <w:sz w:val="24"/>
        <w:szCs w:val="24"/>
      </w:rPr>
      <w:t xml:space="preserve">Circular Externa </w:t>
    </w:r>
    <w:r w:rsidR="00471F87">
      <w:rPr>
        <w:rFonts w:ascii="Arial" w:hAnsi="Arial" w:cs="Arial"/>
        <w:b/>
        <w:bCs/>
        <w:sz w:val="24"/>
        <w:szCs w:val="24"/>
      </w:rPr>
      <w:t>020</w:t>
    </w:r>
    <w:r w:rsidRPr="00966903">
      <w:rPr>
        <w:rFonts w:ascii="Arial" w:hAnsi="Arial" w:cs="Arial"/>
        <w:b/>
        <w:bCs/>
        <w:sz w:val="24"/>
        <w:szCs w:val="24"/>
      </w:rPr>
      <w:t xml:space="preserve"> de 202</w:t>
    </w:r>
    <w:r w:rsidR="00966903">
      <w:rPr>
        <w:rFonts w:ascii="Arial" w:hAnsi="Arial" w:cs="Arial"/>
        <w:b/>
        <w:bCs/>
        <w:sz w:val="24"/>
        <w:szCs w:val="24"/>
      </w:rPr>
      <w:t>2</w:t>
    </w:r>
    <w:r w:rsidRPr="00966903">
      <w:rPr>
        <w:rFonts w:ascii="Arial" w:hAnsi="Arial" w:cs="Arial"/>
        <w:b/>
        <w:bCs/>
        <w:sz w:val="24"/>
        <w:szCs w:val="24"/>
      </w:rPr>
      <w:t xml:space="preserve">                                                                Página  </w:t>
    </w:r>
    <w:r w:rsidRPr="00966903">
      <w:rPr>
        <w:rFonts w:ascii="Arial" w:eastAsia="Arial" w:hAnsi="Arial" w:cs="Arial"/>
        <w:b/>
        <w:bCs/>
        <w:sz w:val="24"/>
        <w:szCs w:val="24"/>
      </w:rPr>
      <w:fldChar w:fldCharType="begin"/>
    </w:r>
    <w:r w:rsidRPr="00966903">
      <w:rPr>
        <w:rFonts w:ascii="Arial" w:eastAsia="Arial" w:hAnsi="Arial" w:cs="Arial"/>
        <w:b/>
        <w:bCs/>
        <w:sz w:val="24"/>
        <w:szCs w:val="24"/>
      </w:rPr>
      <w:instrText xml:space="preserve"> PAGE </w:instrText>
    </w:r>
    <w:r w:rsidRPr="00966903">
      <w:rPr>
        <w:rFonts w:ascii="Arial" w:eastAsia="Arial" w:hAnsi="Arial" w:cs="Arial"/>
        <w:b/>
        <w:bCs/>
        <w:sz w:val="24"/>
        <w:szCs w:val="24"/>
      </w:rPr>
      <w:fldChar w:fldCharType="separate"/>
    </w:r>
    <w:r w:rsidRPr="00966903">
      <w:rPr>
        <w:rFonts w:ascii="Arial" w:eastAsia="Arial" w:hAnsi="Arial" w:cs="Arial"/>
        <w:b/>
        <w:bCs/>
        <w:noProof/>
        <w:sz w:val="24"/>
        <w:szCs w:val="24"/>
      </w:rPr>
      <w:t>8</w:t>
    </w:r>
    <w:r w:rsidRPr="00966903">
      <w:rPr>
        <w:rFonts w:ascii="Arial" w:eastAsia="Arial" w:hAnsi="Arial" w:cs="Arial"/>
        <w:b/>
        <w:bCs/>
        <w:sz w:val="24"/>
        <w:szCs w:val="24"/>
      </w:rPr>
      <w:fldChar w:fldCharType="end"/>
    </w:r>
  </w:p>
  <w:p w14:paraId="395BBCA3" w14:textId="77777777" w:rsidR="00DD342D" w:rsidRPr="00F83A3A" w:rsidRDefault="00DD342D" w:rsidP="00DD342D">
    <w:pPr>
      <w:pStyle w:val="Encabezado"/>
      <w:jc w:val="center"/>
      <w:rPr>
        <w:rFonts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95C6" w14:textId="77777777" w:rsidR="00DD342D" w:rsidRPr="00964900" w:rsidRDefault="00DD342D" w:rsidP="00DD342D">
    <w:pPr>
      <w:pStyle w:val="Encabezado"/>
      <w:jc w:val="center"/>
      <w:rPr>
        <w:rFonts w:ascii="Arial" w:hAnsi="Arial" w:cs="Arial"/>
        <w:b/>
        <w:bCs/>
        <w:sz w:val="24"/>
        <w:szCs w:val="24"/>
        <w:lang w:val="es-ES"/>
      </w:rPr>
    </w:pPr>
    <w:bookmarkStart w:id="0" w:name="_Hlk96325164"/>
    <w:bookmarkStart w:id="1" w:name="_Hlk96325165"/>
    <w:bookmarkStart w:id="2" w:name="_Hlk96325166"/>
    <w:bookmarkStart w:id="3" w:name="_Hlk96325167"/>
    <w:bookmarkStart w:id="4" w:name="_Hlk96325168"/>
    <w:bookmarkStart w:id="5" w:name="_Hlk96325169"/>
    <w:bookmarkStart w:id="6" w:name="_Hlk96325170"/>
    <w:bookmarkStart w:id="7" w:name="_Hlk96325171"/>
    <w:bookmarkStart w:id="8" w:name="_Hlk96325172"/>
    <w:bookmarkStart w:id="9" w:name="_Hlk96325173"/>
    <w:bookmarkStart w:id="10" w:name="_Hlk96325174"/>
    <w:bookmarkStart w:id="11" w:name="_Hlk96325175"/>
    <w:bookmarkStart w:id="12" w:name="_Hlk96325176"/>
    <w:bookmarkStart w:id="13" w:name="_Hlk96325177"/>
    <w:r w:rsidRPr="00964900">
      <w:rPr>
        <w:rFonts w:ascii="Arial" w:hAnsi="Arial" w:cs="Arial"/>
        <w:b/>
        <w:bCs/>
        <w:sz w:val="24"/>
        <w:szCs w:val="24"/>
        <w:lang w:val="es-ES"/>
      </w:rPr>
      <w:t>SUPERINTENDENCIA FINANCIERA DE COLOMBIA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DF2FD7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E8C2D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8E6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B34927"/>
    <w:multiLevelType w:val="hybridMultilevel"/>
    <w:tmpl w:val="30DCF9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3A01D9"/>
    <w:multiLevelType w:val="hybridMultilevel"/>
    <w:tmpl w:val="0B922468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12D9E"/>
    <w:multiLevelType w:val="hybridMultilevel"/>
    <w:tmpl w:val="6BB0E0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D0B79"/>
    <w:multiLevelType w:val="hybridMultilevel"/>
    <w:tmpl w:val="E44CFC8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2A512A"/>
    <w:multiLevelType w:val="hybridMultilevel"/>
    <w:tmpl w:val="8A0E9E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91A1E"/>
    <w:multiLevelType w:val="hybridMultilevel"/>
    <w:tmpl w:val="53F436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A44CB"/>
    <w:multiLevelType w:val="hybridMultilevel"/>
    <w:tmpl w:val="CF5C7240"/>
    <w:lvl w:ilvl="0" w:tplc="BF164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4F7"/>
    <w:multiLevelType w:val="hybridMultilevel"/>
    <w:tmpl w:val="3E8E1808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3A7546"/>
    <w:multiLevelType w:val="hybridMultilevel"/>
    <w:tmpl w:val="B2C83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104C5"/>
    <w:multiLevelType w:val="hybridMultilevel"/>
    <w:tmpl w:val="2CF89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A0E11"/>
    <w:multiLevelType w:val="hybridMultilevel"/>
    <w:tmpl w:val="B430025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728A8"/>
    <w:multiLevelType w:val="hybridMultilevel"/>
    <w:tmpl w:val="CAD03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D7CDD"/>
    <w:multiLevelType w:val="hybridMultilevel"/>
    <w:tmpl w:val="E72E6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13"/>
    <w:multiLevelType w:val="multilevel"/>
    <w:tmpl w:val="8A0E9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21AAD"/>
    <w:multiLevelType w:val="hybridMultilevel"/>
    <w:tmpl w:val="44862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85712"/>
    <w:multiLevelType w:val="hybridMultilevel"/>
    <w:tmpl w:val="A54CEF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3EF"/>
    <w:multiLevelType w:val="hybridMultilevel"/>
    <w:tmpl w:val="EFCE7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D43CF"/>
    <w:multiLevelType w:val="hybridMultilevel"/>
    <w:tmpl w:val="445AA5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B0AFD"/>
    <w:multiLevelType w:val="hybridMultilevel"/>
    <w:tmpl w:val="97227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F01A2"/>
    <w:multiLevelType w:val="hybridMultilevel"/>
    <w:tmpl w:val="8B5E3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A6D62"/>
    <w:multiLevelType w:val="multilevel"/>
    <w:tmpl w:val="5C7E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DAD693B"/>
    <w:multiLevelType w:val="hybridMultilevel"/>
    <w:tmpl w:val="AE50D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70876"/>
    <w:multiLevelType w:val="hybridMultilevel"/>
    <w:tmpl w:val="938E1D1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CC4116"/>
    <w:multiLevelType w:val="hybridMultilevel"/>
    <w:tmpl w:val="5B54F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624985"/>
    <w:multiLevelType w:val="hybridMultilevel"/>
    <w:tmpl w:val="5E8EE6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006FA"/>
    <w:multiLevelType w:val="hybridMultilevel"/>
    <w:tmpl w:val="C6484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3088C"/>
    <w:multiLevelType w:val="hybridMultilevel"/>
    <w:tmpl w:val="4498F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CC629C"/>
    <w:multiLevelType w:val="hybridMultilevel"/>
    <w:tmpl w:val="9D9A8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F5CA5"/>
    <w:multiLevelType w:val="hybridMultilevel"/>
    <w:tmpl w:val="F6245B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B513A"/>
    <w:multiLevelType w:val="hybridMultilevel"/>
    <w:tmpl w:val="1904F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51AEE"/>
    <w:multiLevelType w:val="hybridMultilevel"/>
    <w:tmpl w:val="C7A4767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5" w15:restartNumberingAfterBreak="0">
    <w:nsid w:val="516C7077"/>
    <w:multiLevelType w:val="hybridMultilevel"/>
    <w:tmpl w:val="6106B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64E09"/>
    <w:multiLevelType w:val="hybridMultilevel"/>
    <w:tmpl w:val="C7F48FBC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D113109"/>
    <w:multiLevelType w:val="hybridMultilevel"/>
    <w:tmpl w:val="CC52EF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216F8F"/>
    <w:multiLevelType w:val="hybridMultilevel"/>
    <w:tmpl w:val="25CC76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04CF4"/>
    <w:multiLevelType w:val="hybridMultilevel"/>
    <w:tmpl w:val="F09C1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0E4B8E"/>
    <w:multiLevelType w:val="hybridMultilevel"/>
    <w:tmpl w:val="6AB2C9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6B3339"/>
    <w:multiLevelType w:val="multilevel"/>
    <w:tmpl w:val="03A07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C28A3"/>
    <w:multiLevelType w:val="hybridMultilevel"/>
    <w:tmpl w:val="A3FA5AAA"/>
    <w:lvl w:ilvl="0" w:tplc="8014046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14ECA26">
      <w:numFmt w:val="none"/>
      <w:lvlText w:val=""/>
      <w:lvlJc w:val="left"/>
      <w:pPr>
        <w:tabs>
          <w:tab w:val="num" w:pos="360"/>
        </w:tabs>
      </w:pPr>
    </w:lvl>
    <w:lvl w:ilvl="2" w:tplc="CB1A406C">
      <w:numFmt w:val="none"/>
      <w:lvlText w:val=""/>
      <w:lvlJc w:val="left"/>
      <w:pPr>
        <w:tabs>
          <w:tab w:val="num" w:pos="360"/>
        </w:tabs>
      </w:pPr>
    </w:lvl>
    <w:lvl w:ilvl="3" w:tplc="E1AC11EE">
      <w:numFmt w:val="none"/>
      <w:lvlText w:val=""/>
      <w:lvlJc w:val="left"/>
      <w:pPr>
        <w:tabs>
          <w:tab w:val="num" w:pos="360"/>
        </w:tabs>
      </w:pPr>
    </w:lvl>
    <w:lvl w:ilvl="4" w:tplc="48262BF2">
      <w:numFmt w:val="none"/>
      <w:lvlText w:val=""/>
      <w:lvlJc w:val="left"/>
      <w:pPr>
        <w:tabs>
          <w:tab w:val="num" w:pos="360"/>
        </w:tabs>
      </w:pPr>
    </w:lvl>
    <w:lvl w:ilvl="5" w:tplc="2BACD2E4">
      <w:numFmt w:val="none"/>
      <w:lvlText w:val=""/>
      <w:lvlJc w:val="left"/>
      <w:pPr>
        <w:tabs>
          <w:tab w:val="num" w:pos="360"/>
        </w:tabs>
      </w:pPr>
    </w:lvl>
    <w:lvl w:ilvl="6" w:tplc="F32ED814">
      <w:numFmt w:val="none"/>
      <w:lvlText w:val=""/>
      <w:lvlJc w:val="left"/>
      <w:pPr>
        <w:tabs>
          <w:tab w:val="num" w:pos="360"/>
        </w:tabs>
      </w:pPr>
    </w:lvl>
    <w:lvl w:ilvl="7" w:tplc="F6106BE8">
      <w:numFmt w:val="none"/>
      <w:lvlText w:val=""/>
      <w:lvlJc w:val="left"/>
      <w:pPr>
        <w:tabs>
          <w:tab w:val="num" w:pos="360"/>
        </w:tabs>
      </w:pPr>
    </w:lvl>
    <w:lvl w:ilvl="8" w:tplc="328ED670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56862E7"/>
    <w:multiLevelType w:val="hybridMultilevel"/>
    <w:tmpl w:val="FA3680B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D31AA8"/>
    <w:multiLevelType w:val="hybridMultilevel"/>
    <w:tmpl w:val="8AE025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D3412C"/>
    <w:multiLevelType w:val="hybridMultilevel"/>
    <w:tmpl w:val="9B2A11D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07908885">
    <w:abstractNumId w:val="10"/>
  </w:num>
  <w:num w:numId="2" w16cid:durableId="528422189">
    <w:abstractNumId w:val="42"/>
  </w:num>
  <w:num w:numId="3" w16cid:durableId="343631940">
    <w:abstractNumId w:val="27"/>
  </w:num>
  <w:num w:numId="4" w16cid:durableId="861287562">
    <w:abstractNumId w:val="2"/>
  </w:num>
  <w:num w:numId="5" w16cid:durableId="1041244501">
    <w:abstractNumId w:val="1"/>
  </w:num>
  <w:num w:numId="6" w16cid:durableId="1921136493">
    <w:abstractNumId w:val="0"/>
  </w:num>
  <w:num w:numId="7" w16cid:durableId="315034254">
    <w:abstractNumId w:val="43"/>
  </w:num>
  <w:num w:numId="8" w16cid:durableId="208760180">
    <w:abstractNumId w:val="12"/>
  </w:num>
  <w:num w:numId="9" w16cid:durableId="1172454099">
    <w:abstractNumId w:val="36"/>
  </w:num>
  <w:num w:numId="10" w16cid:durableId="1911310487">
    <w:abstractNumId w:val="14"/>
  </w:num>
  <w:num w:numId="11" w16cid:durableId="71857015">
    <w:abstractNumId w:val="26"/>
  </w:num>
  <w:num w:numId="12" w16cid:durableId="1816951892">
    <w:abstractNumId w:val="5"/>
  </w:num>
  <w:num w:numId="13" w16cid:durableId="1805268890">
    <w:abstractNumId w:val="18"/>
  </w:num>
  <w:num w:numId="14" w16cid:durableId="1114134637">
    <w:abstractNumId w:val="25"/>
  </w:num>
  <w:num w:numId="15" w16cid:durableId="616521814">
    <w:abstractNumId w:val="11"/>
  </w:num>
  <w:num w:numId="16" w16cid:durableId="2141534777">
    <w:abstractNumId w:val="13"/>
  </w:num>
  <w:num w:numId="17" w16cid:durableId="1794589845">
    <w:abstractNumId w:val="8"/>
  </w:num>
  <w:num w:numId="18" w16cid:durableId="1188370039">
    <w:abstractNumId w:val="45"/>
  </w:num>
  <w:num w:numId="19" w16cid:durableId="2121949063">
    <w:abstractNumId w:val="38"/>
  </w:num>
  <w:num w:numId="20" w16cid:durableId="280190019">
    <w:abstractNumId w:val="20"/>
  </w:num>
  <w:num w:numId="21" w16cid:durableId="1393120657">
    <w:abstractNumId w:val="15"/>
  </w:num>
  <w:num w:numId="22" w16cid:durableId="1813251861">
    <w:abstractNumId w:val="16"/>
  </w:num>
  <w:num w:numId="23" w16cid:durableId="1446535526">
    <w:abstractNumId w:val="7"/>
  </w:num>
  <w:num w:numId="24" w16cid:durableId="1364676053">
    <w:abstractNumId w:val="24"/>
  </w:num>
  <w:num w:numId="25" w16cid:durableId="675964836">
    <w:abstractNumId w:val="37"/>
  </w:num>
  <w:num w:numId="26" w16cid:durableId="1167090304">
    <w:abstractNumId w:val="23"/>
  </w:num>
  <w:num w:numId="27" w16cid:durableId="203367316">
    <w:abstractNumId w:val="44"/>
  </w:num>
  <w:num w:numId="28" w16cid:durableId="703870641">
    <w:abstractNumId w:val="6"/>
  </w:num>
  <w:num w:numId="29" w16cid:durableId="1926258243">
    <w:abstractNumId w:val="21"/>
  </w:num>
  <w:num w:numId="30" w16cid:durableId="1777557337">
    <w:abstractNumId w:val="19"/>
  </w:num>
  <w:num w:numId="31" w16cid:durableId="298077414">
    <w:abstractNumId w:val="39"/>
  </w:num>
  <w:num w:numId="32" w16cid:durableId="1253202906">
    <w:abstractNumId w:val="32"/>
  </w:num>
  <w:num w:numId="33" w16cid:durableId="70931023">
    <w:abstractNumId w:val="4"/>
  </w:num>
  <w:num w:numId="34" w16cid:durableId="1966932009">
    <w:abstractNumId w:val="29"/>
  </w:num>
  <w:num w:numId="35" w16cid:durableId="1241796775">
    <w:abstractNumId w:val="9"/>
  </w:num>
  <w:num w:numId="36" w16cid:durableId="1400904460">
    <w:abstractNumId w:val="28"/>
  </w:num>
  <w:num w:numId="37" w16cid:durableId="1262495951">
    <w:abstractNumId w:val="34"/>
  </w:num>
  <w:num w:numId="38" w16cid:durableId="1274020033">
    <w:abstractNumId w:val="22"/>
  </w:num>
  <w:num w:numId="39" w16cid:durableId="462432035">
    <w:abstractNumId w:val="31"/>
  </w:num>
  <w:num w:numId="40" w16cid:durableId="807670362">
    <w:abstractNumId w:val="41"/>
  </w:num>
  <w:num w:numId="41" w16cid:durableId="684328622">
    <w:abstractNumId w:val="17"/>
  </w:num>
  <w:num w:numId="42" w16cid:durableId="1609002009">
    <w:abstractNumId w:val="30"/>
  </w:num>
  <w:num w:numId="43" w16cid:durableId="939139470">
    <w:abstractNumId w:val="3"/>
  </w:num>
  <w:num w:numId="44" w16cid:durableId="1948003467">
    <w:abstractNumId w:val="35"/>
  </w:num>
  <w:num w:numId="45" w16cid:durableId="60713866">
    <w:abstractNumId w:val="40"/>
  </w:num>
  <w:num w:numId="46" w16cid:durableId="17911261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025B8"/>
    <w:rsid w:val="000159DA"/>
    <w:rsid w:val="000171C0"/>
    <w:rsid w:val="00030D39"/>
    <w:rsid w:val="00043B3D"/>
    <w:rsid w:val="00047316"/>
    <w:rsid w:val="000779CA"/>
    <w:rsid w:val="000C23C1"/>
    <w:rsid w:val="000D147B"/>
    <w:rsid w:val="000F60E0"/>
    <w:rsid w:val="000F6CB5"/>
    <w:rsid w:val="00112F6C"/>
    <w:rsid w:val="00120DA4"/>
    <w:rsid w:val="001258E1"/>
    <w:rsid w:val="00134B2E"/>
    <w:rsid w:val="0014152B"/>
    <w:rsid w:val="001543F0"/>
    <w:rsid w:val="001618E1"/>
    <w:rsid w:val="00164D9E"/>
    <w:rsid w:val="00176E26"/>
    <w:rsid w:val="00190EE7"/>
    <w:rsid w:val="001922C8"/>
    <w:rsid w:val="001A12E9"/>
    <w:rsid w:val="001A6B7D"/>
    <w:rsid w:val="001B4A82"/>
    <w:rsid w:val="001C6999"/>
    <w:rsid w:val="001D42D8"/>
    <w:rsid w:val="001F682F"/>
    <w:rsid w:val="002167B7"/>
    <w:rsid w:val="00226DE6"/>
    <w:rsid w:val="00246700"/>
    <w:rsid w:val="00253717"/>
    <w:rsid w:val="00255BFB"/>
    <w:rsid w:val="00275B8A"/>
    <w:rsid w:val="00286B9C"/>
    <w:rsid w:val="002907CA"/>
    <w:rsid w:val="00293A38"/>
    <w:rsid w:val="00295581"/>
    <w:rsid w:val="002B6E99"/>
    <w:rsid w:val="002E2F54"/>
    <w:rsid w:val="002F4A2A"/>
    <w:rsid w:val="00316E05"/>
    <w:rsid w:val="00333B1C"/>
    <w:rsid w:val="003738F8"/>
    <w:rsid w:val="0037411F"/>
    <w:rsid w:val="00374F5A"/>
    <w:rsid w:val="003760B7"/>
    <w:rsid w:val="00377D2C"/>
    <w:rsid w:val="0038136D"/>
    <w:rsid w:val="003854E3"/>
    <w:rsid w:val="003918C3"/>
    <w:rsid w:val="003E3CC3"/>
    <w:rsid w:val="003F7BBD"/>
    <w:rsid w:val="00404235"/>
    <w:rsid w:val="004043B0"/>
    <w:rsid w:val="0040661C"/>
    <w:rsid w:val="00410CAB"/>
    <w:rsid w:val="00431FCF"/>
    <w:rsid w:val="00442F87"/>
    <w:rsid w:val="0044428D"/>
    <w:rsid w:val="004456BD"/>
    <w:rsid w:val="00451E47"/>
    <w:rsid w:val="00471F87"/>
    <w:rsid w:val="00484DC8"/>
    <w:rsid w:val="004B7F5A"/>
    <w:rsid w:val="004C2087"/>
    <w:rsid w:val="004D5BBF"/>
    <w:rsid w:val="004D6AE1"/>
    <w:rsid w:val="004F111A"/>
    <w:rsid w:val="00513233"/>
    <w:rsid w:val="00514FF3"/>
    <w:rsid w:val="00524D06"/>
    <w:rsid w:val="005462E4"/>
    <w:rsid w:val="00564B20"/>
    <w:rsid w:val="00581497"/>
    <w:rsid w:val="005B1168"/>
    <w:rsid w:val="005B329B"/>
    <w:rsid w:val="005D51F0"/>
    <w:rsid w:val="005E3F7F"/>
    <w:rsid w:val="005F4231"/>
    <w:rsid w:val="00615988"/>
    <w:rsid w:val="00615B5A"/>
    <w:rsid w:val="00621A24"/>
    <w:rsid w:val="0064423D"/>
    <w:rsid w:val="006519E2"/>
    <w:rsid w:val="00655487"/>
    <w:rsid w:val="00655C9D"/>
    <w:rsid w:val="00664B83"/>
    <w:rsid w:val="0068118F"/>
    <w:rsid w:val="006B29A5"/>
    <w:rsid w:val="006B416D"/>
    <w:rsid w:val="006B56BB"/>
    <w:rsid w:val="006C2208"/>
    <w:rsid w:val="006D2615"/>
    <w:rsid w:val="006F70A6"/>
    <w:rsid w:val="006F7746"/>
    <w:rsid w:val="00714EF6"/>
    <w:rsid w:val="0075215C"/>
    <w:rsid w:val="00757F8E"/>
    <w:rsid w:val="00774FC7"/>
    <w:rsid w:val="007A55C7"/>
    <w:rsid w:val="007C0F8A"/>
    <w:rsid w:val="007E4209"/>
    <w:rsid w:val="008078CF"/>
    <w:rsid w:val="008134CC"/>
    <w:rsid w:val="00820D68"/>
    <w:rsid w:val="00824B7C"/>
    <w:rsid w:val="00825336"/>
    <w:rsid w:val="008361BA"/>
    <w:rsid w:val="00836A72"/>
    <w:rsid w:val="0084010C"/>
    <w:rsid w:val="008A1DD9"/>
    <w:rsid w:val="008B697F"/>
    <w:rsid w:val="008C5979"/>
    <w:rsid w:val="008C78C6"/>
    <w:rsid w:val="008D1DF6"/>
    <w:rsid w:val="008D2B55"/>
    <w:rsid w:val="008E4990"/>
    <w:rsid w:val="008E5E34"/>
    <w:rsid w:val="00903F36"/>
    <w:rsid w:val="00904A52"/>
    <w:rsid w:val="009153F1"/>
    <w:rsid w:val="0096306F"/>
    <w:rsid w:val="00964900"/>
    <w:rsid w:val="00966903"/>
    <w:rsid w:val="00980CB2"/>
    <w:rsid w:val="00997CB7"/>
    <w:rsid w:val="009A55F6"/>
    <w:rsid w:val="009B2C44"/>
    <w:rsid w:val="009B472B"/>
    <w:rsid w:val="009C526F"/>
    <w:rsid w:val="009C7068"/>
    <w:rsid w:val="009F7181"/>
    <w:rsid w:val="00A06FA2"/>
    <w:rsid w:val="00A164B8"/>
    <w:rsid w:val="00A27114"/>
    <w:rsid w:val="00A56544"/>
    <w:rsid w:val="00A57330"/>
    <w:rsid w:val="00A61CAF"/>
    <w:rsid w:val="00A7388C"/>
    <w:rsid w:val="00A852A7"/>
    <w:rsid w:val="00AC0FDE"/>
    <w:rsid w:val="00B05C8F"/>
    <w:rsid w:val="00B12810"/>
    <w:rsid w:val="00B43F5A"/>
    <w:rsid w:val="00B51F39"/>
    <w:rsid w:val="00B6670D"/>
    <w:rsid w:val="00BA0994"/>
    <w:rsid w:val="00BA4399"/>
    <w:rsid w:val="00BB3603"/>
    <w:rsid w:val="00BB37DA"/>
    <w:rsid w:val="00BC13D7"/>
    <w:rsid w:val="00C340E1"/>
    <w:rsid w:val="00C35858"/>
    <w:rsid w:val="00C80296"/>
    <w:rsid w:val="00C82FE0"/>
    <w:rsid w:val="00C869BE"/>
    <w:rsid w:val="00C8742D"/>
    <w:rsid w:val="00C95AE7"/>
    <w:rsid w:val="00CB023F"/>
    <w:rsid w:val="00CC4A1A"/>
    <w:rsid w:val="00CD33D4"/>
    <w:rsid w:val="00D05EE9"/>
    <w:rsid w:val="00D071C4"/>
    <w:rsid w:val="00D42D4C"/>
    <w:rsid w:val="00D653B2"/>
    <w:rsid w:val="00DB24DE"/>
    <w:rsid w:val="00DD0E8F"/>
    <w:rsid w:val="00DD342D"/>
    <w:rsid w:val="00DF3624"/>
    <w:rsid w:val="00E416CF"/>
    <w:rsid w:val="00E435E8"/>
    <w:rsid w:val="00E47C9B"/>
    <w:rsid w:val="00E530A0"/>
    <w:rsid w:val="00E66DC8"/>
    <w:rsid w:val="00E77CA2"/>
    <w:rsid w:val="00E77E01"/>
    <w:rsid w:val="00E9386A"/>
    <w:rsid w:val="00E93C1D"/>
    <w:rsid w:val="00E979D9"/>
    <w:rsid w:val="00EA1049"/>
    <w:rsid w:val="00EB26B9"/>
    <w:rsid w:val="00EB46D9"/>
    <w:rsid w:val="00EB4F84"/>
    <w:rsid w:val="00EC6395"/>
    <w:rsid w:val="00ED37AC"/>
    <w:rsid w:val="00EE3537"/>
    <w:rsid w:val="00F15EF5"/>
    <w:rsid w:val="00F27C48"/>
    <w:rsid w:val="00F32DEC"/>
    <w:rsid w:val="00F47CCF"/>
    <w:rsid w:val="00F6044F"/>
    <w:rsid w:val="00F668A0"/>
    <w:rsid w:val="00F70A31"/>
    <w:rsid w:val="00F71CBC"/>
    <w:rsid w:val="00F822C8"/>
    <w:rsid w:val="00F9082E"/>
    <w:rsid w:val="00FC3F04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D4F1A"/>
  <w15:chartTrackingRefBased/>
  <w15:docId w15:val="{0ED69342-2B8D-4D87-9674-0DDEE31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Puesto">
    <w:name w:val="Puesto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0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paragraph" w:styleId="Sinespaciado">
    <w:name w:val="No Spacing"/>
    <w:uiPriority w:val="1"/>
    <w:qFormat/>
    <w:rsid w:val="00966903"/>
    <w:rPr>
      <w:rFonts w:ascii="Arial" w:hAnsi="Arial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246700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85adb-f9f8-4ad2-b93e-5298678f4f16">
      <Terms xmlns="http://schemas.microsoft.com/office/infopath/2007/PartnerControls"/>
    </lcf76f155ced4ddcb4097134ff3c332f>
    <TaxCatchAll xmlns="23154071-492a-49af-ba14-6cfbabadf5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D0D1348C8F84FABC73C46F900F10A" ma:contentTypeVersion="14" ma:contentTypeDescription="Crear nuevo documento." ma:contentTypeScope="" ma:versionID="062a5306d95edd69ac1d93c511fe8ad7">
  <xsd:schema xmlns:xsd="http://www.w3.org/2001/XMLSchema" xmlns:xs="http://www.w3.org/2001/XMLSchema" xmlns:p="http://schemas.microsoft.com/office/2006/metadata/properties" xmlns:ns2="dce85adb-f9f8-4ad2-b93e-5298678f4f16" xmlns:ns3="23154071-492a-49af-ba14-6cfbabadf55b" targetNamespace="http://schemas.microsoft.com/office/2006/metadata/properties" ma:root="true" ma:fieldsID="4094825c1a3eeef9b90db781a3479323" ns2:_="" ns3:_="">
    <xsd:import namespace="dce85adb-f9f8-4ad2-b93e-5298678f4f16"/>
    <xsd:import namespace="23154071-492a-49af-ba14-6cfbabadf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5adb-f9f8-4ad2-b93e-5298678f4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ece026-1153-4486-bc0e-f284fdb49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4071-492a-49af-ba14-6cfbabadf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a09dce-2a4d-4764-9b43-56f58670ec70}" ma:internalName="TaxCatchAll" ma:showField="CatchAllData" ma:web="23154071-492a-49af-ba14-6cfbabadf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7506F-7CAB-4095-B8E2-1B7016F52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6507E-0E8B-4AA0-84AC-10FEE69EC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F6663-72E4-42B4-9423-67A28A5E1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2679A-891B-4A57-B99E-A872F7C9C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 CE</vt:lpstr>
      <vt:lpstr>Proy CE</vt:lpstr>
    </vt:vector>
  </TitlesOfParts>
  <Company>superfinanciera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subject/>
  <dc:creator>Dirección de Investigación y Desarrollo</dc:creator>
  <cp:keywords/>
  <cp:lastModifiedBy>Ana Yuliza Bernal Urrego</cp:lastModifiedBy>
  <cp:revision>2</cp:revision>
  <cp:lastPrinted>2016-09-26T16:13:00Z</cp:lastPrinted>
  <dcterms:created xsi:type="dcterms:W3CDTF">2024-05-31T14:30:00Z</dcterms:created>
  <dcterms:modified xsi:type="dcterms:W3CDTF">2024-05-31T14:30:00Z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0x010100ACCD0D1348C8F84FABC73C46F900F10A</vt:lpwstr>
  </property>
</Properties>
</file>